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54B8">
      <w:pPr>
        <w:pStyle w:val="Default"/>
      </w:pPr>
    </w:p>
    <w:p w:rsidR="00000000" w:rsidRDefault="008E54B8">
      <w:pPr>
        <w:pStyle w:val="Default"/>
        <w:rPr>
          <w:rFonts w:ascii="Book Antiqua" w:hAnsi="Book Antiqua" w:cs="Book Antiqua"/>
          <w:sz w:val="48"/>
          <w:szCs w:val="48"/>
        </w:rPr>
      </w:pPr>
      <w:r>
        <w:t xml:space="preserve"> </w:t>
      </w:r>
      <w:r>
        <w:rPr>
          <w:b/>
          <w:bCs/>
          <w:sz w:val="48"/>
          <w:szCs w:val="48"/>
        </w:rPr>
        <w:t>Citizens for Alternatives to Chemical Contamination</w:t>
      </w:r>
      <w:r>
        <w:rPr>
          <w:rFonts w:ascii="Book Antiqua" w:hAnsi="Book Antiqua" w:cs="Book Antiqua"/>
          <w:b/>
          <w:bCs/>
          <w:sz w:val="48"/>
          <w:szCs w:val="48"/>
        </w:rPr>
        <w:t xml:space="preserve">  </w:t>
      </w:r>
    </w:p>
    <w:p w:rsidR="00000000" w:rsidRDefault="00CB2606">
      <w:pPr>
        <w:pStyle w:val="Default"/>
        <w:framePr w:w="3740" w:wrap="auto" w:vAnchor="page" w:hAnchor="page" w:x="622" w:y="784"/>
        <w:rPr>
          <w:rFonts w:ascii="Book Antiqua" w:hAnsi="Book Antiqua" w:cs="Book Antiqua"/>
          <w:sz w:val="48"/>
          <w:szCs w:val="48"/>
        </w:rPr>
      </w:pPr>
      <w:r>
        <w:rPr>
          <w:rFonts w:ascii="Book Antiqua" w:hAnsi="Book Antiqua" w:cs="Book Antiqua"/>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74.75pt;mso-position-horizontal:absolute">
            <v:imagedata r:id="rId4" o:title=""/>
          </v:shape>
        </w:pict>
      </w:r>
    </w:p>
    <w:p w:rsidR="00000000" w:rsidRDefault="008E54B8">
      <w:pPr>
        <w:pStyle w:val="Default"/>
        <w:rPr>
          <w:rFonts w:ascii="Book Antiqua" w:hAnsi="Book Antiqua" w:cs="Book Antiqua"/>
          <w:sz w:val="23"/>
          <w:szCs w:val="23"/>
        </w:rPr>
      </w:pPr>
      <w:r>
        <w:rPr>
          <w:rFonts w:ascii="Book Antiqua" w:hAnsi="Book Antiqua" w:cs="Book Antiqua"/>
          <w:sz w:val="23"/>
          <w:szCs w:val="23"/>
        </w:rPr>
        <w:t xml:space="preserve">Member of the Michigan Environmental Council and  </w:t>
      </w:r>
    </w:p>
    <w:p w:rsidR="00000000" w:rsidRDefault="008E54B8">
      <w:pPr>
        <w:pStyle w:val="Default"/>
        <w:rPr>
          <w:sz w:val="23"/>
          <w:szCs w:val="23"/>
        </w:rPr>
      </w:pPr>
      <w:r>
        <w:rPr>
          <w:sz w:val="23"/>
          <w:szCs w:val="23"/>
        </w:rPr>
        <w:t xml:space="preserve">Earth Share of Michigan  </w:t>
      </w:r>
    </w:p>
    <w:p w:rsidR="00000000" w:rsidRDefault="008E54B8">
      <w:pPr>
        <w:pStyle w:val="Default"/>
        <w:rPr>
          <w:sz w:val="23"/>
          <w:szCs w:val="23"/>
        </w:rPr>
      </w:pPr>
      <w:r>
        <w:rPr>
          <w:sz w:val="23"/>
          <w:szCs w:val="23"/>
        </w:rPr>
        <w:t xml:space="preserve">8735 Maple Grove Road, Lake, Michigan  48632-9511                               </w:t>
      </w:r>
    </w:p>
    <w:p w:rsidR="00000000" w:rsidRDefault="008E54B8">
      <w:pPr>
        <w:pStyle w:val="Default"/>
        <w:rPr>
          <w:rFonts w:ascii="Book Antiqua" w:hAnsi="Book Antiqua" w:cs="Book Antiqua"/>
          <w:sz w:val="36"/>
          <w:szCs w:val="36"/>
        </w:rPr>
      </w:pPr>
      <w:r>
        <w:rPr>
          <w:sz w:val="23"/>
          <w:szCs w:val="23"/>
        </w:rPr>
        <w:t>Voice and Fax:  989-544-3318</w:t>
      </w:r>
      <w:r>
        <w:rPr>
          <w:rFonts w:ascii="Book Antiqua" w:hAnsi="Book Antiqua" w:cs="Book Antiqua"/>
          <w:b/>
          <w:bCs/>
          <w:sz w:val="36"/>
          <w:szCs w:val="36"/>
        </w:rPr>
        <w:t xml:space="preserve"> </w:t>
      </w:r>
    </w:p>
    <w:p w:rsidR="00000000" w:rsidRDefault="008E54B8">
      <w:pPr>
        <w:pStyle w:val="Default"/>
        <w:rPr>
          <w:rFonts w:ascii="Book Antiqua" w:hAnsi="Book Antiqua" w:cs="Book Antiqua"/>
          <w:sz w:val="23"/>
          <w:szCs w:val="23"/>
        </w:rPr>
      </w:pPr>
      <w:r>
        <w:rPr>
          <w:rFonts w:ascii="Book Antiqua" w:hAnsi="Book Antiqua" w:cs="Book Antiqua"/>
          <w:sz w:val="23"/>
          <w:szCs w:val="23"/>
        </w:rPr>
        <w:t xml:space="preserve"> </w:t>
      </w:r>
    </w:p>
    <w:p w:rsidR="00000000" w:rsidRDefault="008E54B8">
      <w:pPr>
        <w:pStyle w:val="Default"/>
        <w:rPr>
          <w:rFonts w:ascii="Monotype Corsiva" w:hAnsi="Monotype Corsiva" w:cs="Monotype Corsiva"/>
          <w:sz w:val="22"/>
          <w:szCs w:val="22"/>
        </w:rPr>
      </w:pPr>
      <w:r>
        <w:rPr>
          <w:rFonts w:ascii="Monotype Corsiva" w:hAnsi="Monotype Corsiva" w:cs="Monotype Corsiva"/>
          <w:i/>
          <w:iCs/>
          <w:sz w:val="22"/>
          <w:szCs w:val="22"/>
        </w:rPr>
        <w:t xml:space="preserve">Chapter Organizations: </w:t>
      </w:r>
    </w:p>
    <w:p w:rsidR="00000000" w:rsidRDefault="008E54B8">
      <w:pPr>
        <w:pStyle w:val="Default"/>
        <w:rPr>
          <w:rFonts w:ascii="Monotype Corsiva" w:hAnsi="Monotype Corsiva" w:cs="Monotype Corsiva"/>
          <w:sz w:val="22"/>
          <w:szCs w:val="22"/>
        </w:rPr>
      </w:pPr>
      <w:r>
        <w:rPr>
          <w:rFonts w:ascii="Monotype Corsiva" w:hAnsi="Monotype Corsiva" w:cs="Monotype Corsiva"/>
          <w:i/>
          <w:iCs/>
          <w:sz w:val="22"/>
          <w:szCs w:val="22"/>
        </w:rPr>
        <w:t xml:space="preserve">Huron </w:t>
      </w:r>
      <w:r>
        <w:rPr>
          <w:rFonts w:ascii="Monotype Corsiva" w:hAnsi="Monotype Corsiva" w:cs="Monotype Corsiva"/>
          <w:i/>
          <w:iCs/>
          <w:sz w:val="22"/>
          <w:szCs w:val="22"/>
        </w:rPr>
        <w:t xml:space="preserve">Environmental Activist League  </w:t>
      </w:r>
    </w:p>
    <w:p w:rsidR="00000000" w:rsidRDefault="008E54B8">
      <w:pPr>
        <w:pStyle w:val="Default"/>
        <w:rPr>
          <w:sz w:val="23"/>
          <w:szCs w:val="23"/>
        </w:rPr>
      </w:pPr>
      <w:r>
        <w:rPr>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                                                                            January 12, 201</w:t>
      </w:r>
      <w:r w:rsidR="003451B7">
        <w:rPr>
          <w:rFonts w:ascii="Times New Roman" w:hAnsi="Times New Roman" w:cs="Times New Roman"/>
          <w:sz w:val="23"/>
          <w:szCs w:val="23"/>
        </w:rPr>
        <w:t>2</w:t>
      </w:r>
      <w:r>
        <w:rPr>
          <w:rFonts w:ascii="Times New Roman" w:hAnsi="Times New Roman" w:cs="Times New Roman"/>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b/>
          <w:bCs/>
          <w:sz w:val="23"/>
          <w:szCs w:val="23"/>
        </w:rPr>
        <w:t xml:space="preserve">Docket ID NRC-2008-0566 </w:t>
      </w:r>
    </w:p>
    <w:p w:rsidR="00000000" w:rsidRDefault="008E54B8">
      <w:pPr>
        <w:pStyle w:val="Default"/>
        <w:rPr>
          <w:rFonts w:ascii="Arial" w:hAnsi="Arial" w:cs="Arial"/>
          <w:sz w:val="23"/>
          <w:szCs w:val="23"/>
        </w:rPr>
      </w:pPr>
      <w:r>
        <w:rPr>
          <w:rFonts w:ascii="Book Antiqua" w:hAnsi="Book Antiqua" w:cs="Book Antiqua"/>
          <w:sz w:val="23"/>
          <w:szCs w:val="23"/>
        </w:rPr>
        <w:t>Draft Environmental Impact</w:t>
      </w:r>
      <w:r>
        <w:rPr>
          <w:rFonts w:ascii="Arial" w:hAnsi="Arial" w:cs="Arial"/>
          <w:sz w:val="23"/>
          <w:szCs w:val="23"/>
        </w:rPr>
        <w:t xml:space="preserve"> </w:t>
      </w:r>
      <w:r>
        <w:rPr>
          <w:rFonts w:ascii="Book Antiqua" w:hAnsi="Book Antiqua" w:cs="Book Antiqua"/>
          <w:sz w:val="23"/>
          <w:szCs w:val="23"/>
        </w:rPr>
        <w:t>Statement for Combined License (COL)</w:t>
      </w:r>
      <w:r>
        <w:rPr>
          <w:rFonts w:ascii="Arial" w:hAnsi="Arial" w:cs="Arial"/>
          <w:sz w:val="23"/>
          <w:szCs w:val="23"/>
        </w:rPr>
        <w:t xml:space="preserve"> </w:t>
      </w:r>
      <w:r>
        <w:rPr>
          <w:rFonts w:ascii="Book Antiqua" w:hAnsi="Book Antiqua" w:cs="Book Antiqua"/>
          <w:sz w:val="23"/>
          <w:szCs w:val="23"/>
        </w:rPr>
        <w:t xml:space="preserve">for </w:t>
      </w:r>
      <w:proofErr w:type="spellStart"/>
      <w:r>
        <w:rPr>
          <w:rFonts w:ascii="Book Antiqua" w:hAnsi="Book Antiqua" w:cs="Book Antiqua"/>
          <w:sz w:val="23"/>
          <w:szCs w:val="23"/>
        </w:rPr>
        <w:t>Enrico</w:t>
      </w:r>
      <w:proofErr w:type="spellEnd"/>
      <w:r>
        <w:rPr>
          <w:rFonts w:ascii="Book Antiqua" w:hAnsi="Book Antiqua" w:cs="Book Antiqua"/>
          <w:sz w:val="23"/>
          <w:szCs w:val="23"/>
        </w:rPr>
        <w:t xml:space="preserve"> Fermi Unit 3 report number:</w:t>
      </w:r>
      <w:r>
        <w:rPr>
          <w:rFonts w:ascii="Book Antiqua" w:hAnsi="Book Antiqua" w:cs="Book Antiqua"/>
          <w:sz w:val="23"/>
          <w:szCs w:val="23"/>
        </w:rPr>
        <w:t xml:space="preserve"> NUREG-2105</w:t>
      </w:r>
      <w:r>
        <w:rPr>
          <w:rFonts w:ascii="Arial" w:hAnsi="Arial" w:cs="Arial"/>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To the Nuclear Regulatory Commission:  </w:t>
      </w:r>
    </w:p>
    <w:p w:rsidR="00000000" w:rsidRDefault="008E54B8">
      <w:pPr>
        <w:pStyle w:val="Default"/>
        <w:rPr>
          <w:sz w:val="23"/>
          <w:szCs w:val="23"/>
        </w:rPr>
      </w:pPr>
      <w:r>
        <w:rPr>
          <w:rFonts w:ascii="Times New Roman" w:hAnsi="Times New Roman" w:cs="Times New Roman"/>
          <w:sz w:val="23"/>
          <w:szCs w:val="23"/>
        </w:rPr>
        <w:t xml:space="preserve"> Citizens for Alternatives to Chemical Contamination (CACC) is a 501 C3 grassroots environmental education and advocacy organization, founded in 1978 and dedicated to the principles of social and envir</w:t>
      </w:r>
      <w:r>
        <w:rPr>
          <w:rFonts w:ascii="Times New Roman" w:hAnsi="Times New Roman" w:cs="Times New Roman"/>
          <w:sz w:val="23"/>
          <w:szCs w:val="23"/>
        </w:rPr>
        <w:t xml:space="preserve">onmental justice and protection of the Great Lakes Ecosystem. CACC is an intervener before the ASLB on the proposed Fermi 3 reactor.   CACC contends that the public comment period for the Fermi 3 Draft Environmental Impact Statement should be extended, by </w:t>
      </w:r>
      <w:r>
        <w:rPr>
          <w:rFonts w:ascii="Times New Roman" w:hAnsi="Times New Roman" w:cs="Times New Roman"/>
          <w:sz w:val="23"/>
          <w:szCs w:val="23"/>
        </w:rPr>
        <w:t>at least 60 days after the Biological Report, (</w:t>
      </w:r>
      <w:r>
        <w:rPr>
          <w:rFonts w:ascii="Times New Roman" w:hAnsi="Times New Roman" w:cs="Times New Roman"/>
          <w:b/>
          <w:bCs/>
          <w:i/>
          <w:iCs/>
          <w:sz w:val="23"/>
          <w:szCs w:val="23"/>
        </w:rPr>
        <w:t>essential to understanding and review of the draft EIS</w:t>
      </w:r>
      <w:r>
        <w:rPr>
          <w:rFonts w:ascii="Times New Roman" w:hAnsi="Times New Roman" w:cs="Times New Roman"/>
          <w:sz w:val="23"/>
          <w:szCs w:val="23"/>
        </w:rPr>
        <w:t xml:space="preserve">) is completed, released to the public and the public has adequate time to review. This is a draft </w:t>
      </w:r>
      <w:r>
        <w:rPr>
          <w:rFonts w:ascii="Times New Roman" w:hAnsi="Times New Roman" w:cs="Times New Roman"/>
          <w:b/>
          <w:bCs/>
          <w:i/>
          <w:iCs/>
          <w:sz w:val="23"/>
          <w:szCs w:val="23"/>
        </w:rPr>
        <w:t>Environmental</w:t>
      </w:r>
      <w:r>
        <w:rPr>
          <w:rFonts w:ascii="Times New Roman" w:hAnsi="Times New Roman" w:cs="Times New Roman"/>
          <w:i/>
          <w:iCs/>
          <w:sz w:val="23"/>
          <w:szCs w:val="23"/>
        </w:rPr>
        <w:t xml:space="preserve"> </w:t>
      </w:r>
      <w:r>
        <w:rPr>
          <w:rFonts w:ascii="Times New Roman" w:hAnsi="Times New Roman" w:cs="Times New Roman"/>
          <w:sz w:val="23"/>
          <w:szCs w:val="23"/>
        </w:rPr>
        <w:t xml:space="preserve">Impact Statement and </w:t>
      </w:r>
      <w:r>
        <w:rPr>
          <w:rFonts w:ascii="Times New Roman" w:hAnsi="Times New Roman" w:cs="Times New Roman"/>
          <w:i/>
          <w:iCs/>
          <w:sz w:val="23"/>
          <w:szCs w:val="23"/>
        </w:rPr>
        <w:t xml:space="preserve">there is no way that the public can adequately assess this whole DEIS </w:t>
      </w:r>
      <w:r>
        <w:rPr>
          <w:rFonts w:ascii="Times New Roman" w:hAnsi="Times New Roman" w:cs="Times New Roman"/>
          <w:sz w:val="23"/>
          <w:szCs w:val="23"/>
        </w:rPr>
        <w:t>and the possible harm or ramifications to the environment, whether it be the health of the human community or ecosystem, upon which humans utterly depend, without access to the Biologica</w:t>
      </w:r>
      <w:r>
        <w:rPr>
          <w:rFonts w:ascii="Times New Roman" w:hAnsi="Times New Roman" w:cs="Times New Roman"/>
          <w:sz w:val="23"/>
          <w:szCs w:val="23"/>
        </w:rPr>
        <w:t xml:space="preserve">l Report. It is an unacceptable segmentation of the DEIS. The Biological Report is a fundamental part of any EIS.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Protection of people and the environment is written right into the NRC’s Mission statement, and should be your top priority, not a decisio</w:t>
      </w:r>
      <w:r>
        <w:rPr>
          <w:rFonts w:ascii="Times New Roman" w:hAnsi="Times New Roman" w:cs="Times New Roman"/>
          <w:sz w:val="23"/>
          <w:szCs w:val="23"/>
        </w:rPr>
        <w:t>n to short-change the public from critical information, in order to keep to a schedule, especially when what is being constructed is a new, untried reactor, admittedly lacking many of the critical safety systems required of other commercial reactors, (beca</w:t>
      </w:r>
      <w:r>
        <w:rPr>
          <w:rFonts w:ascii="Times New Roman" w:hAnsi="Times New Roman" w:cs="Times New Roman"/>
          <w:sz w:val="23"/>
          <w:szCs w:val="23"/>
        </w:rPr>
        <w:t>use it is heralded as "inherently safer" - even though the safety of this reactor has never been proven over time.) Merely one severe nuclear reactor accident can damage very large areas of land and water for centuries, and cause enormous damage to the hea</w:t>
      </w:r>
      <w:r>
        <w:rPr>
          <w:rFonts w:ascii="Times New Roman" w:hAnsi="Times New Roman" w:cs="Times New Roman"/>
          <w:sz w:val="23"/>
          <w:szCs w:val="23"/>
        </w:rPr>
        <w:t>lth of communities and the ecosystem for generations. We protest and oppose the idea that either humans or the Great Lakes watershed should be guinea pigs for the nuclear industry. The precautionary principle states that: “When an activity raises threats o</w:t>
      </w:r>
      <w:r>
        <w:rPr>
          <w:rFonts w:ascii="Times New Roman" w:hAnsi="Times New Roman" w:cs="Times New Roman"/>
          <w:sz w:val="23"/>
          <w:szCs w:val="23"/>
        </w:rPr>
        <w:t>f harm to human health or the environment, precautionary measures should be taken even if some cause and effect relationships are not fully established scientifically. In this context, the proponent of an activity, [in this case, the utility] rather than t</w:t>
      </w:r>
      <w:r>
        <w:rPr>
          <w:rFonts w:ascii="Times New Roman" w:hAnsi="Times New Roman" w:cs="Times New Roman"/>
          <w:sz w:val="23"/>
          <w:szCs w:val="23"/>
        </w:rPr>
        <w:t xml:space="preserve">he public, should bear the burden of proof.  </w:t>
      </w:r>
      <w:r>
        <w:rPr>
          <w:rFonts w:ascii="Times New Roman" w:hAnsi="Times New Roman" w:cs="Times New Roman"/>
          <w:b/>
          <w:bCs/>
          <w:i/>
          <w:iCs/>
          <w:sz w:val="23"/>
          <w:szCs w:val="23"/>
        </w:rPr>
        <w:t xml:space="preserve">The process of applying the Precautionary Principle must be open, informed </w:t>
      </w:r>
      <w:r>
        <w:rPr>
          <w:rFonts w:ascii="Times New Roman" w:hAnsi="Times New Roman" w:cs="Times New Roman"/>
          <w:sz w:val="23"/>
          <w:szCs w:val="23"/>
        </w:rPr>
        <w:t>[emphasis mine]</w:t>
      </w:r>
      <w:r>
        <w:rPr>
          <w:rFonts w:ascii="Times New Roman" w:hAnsi="Times New Roman" w:cs="Times New Roman"/>
          <w:b/>
          <w:bCs/>
          <w:i/>
          <w:iCs/>
          <w:sz w:val="23"/>
          <w:szCs w:val="23"/>
        </w:rPr>
        <w:t xml:space="preserve"> and democratic and must include potentially affected parties</w:t>
      </w:r>
      <w:r>
        <w:rPr>
          <w:rFonts w:ascii="Times New Roman" w:hAnsi="Times New Roman" w:cs="Times New Roman"/>
          <w:sz w:val="23"/>
          <w:szCs w:val="23"/>
        </w:rPr>
        <w:t>. It must also involve an examination of the full range of a</w:t>
      </w:r>
      <w:r>
        <w:rPr>
          <w:rFonts w:ascii="Times New Roman" w:hAnsi="Times New Roman" w:cs="Times New Roman"/>
          <w:sz w:val="23"/>
          <w:szCs w:val="23"/>
        </w:rPr>
        <w:t xml:space="preserve">lternatives, including no action." Separating this vital report from the whole of the DEIS, is designed to keep the public in the dark, and without full information or participation. Ivan </w:t>
      </w:r>
      <w:proofErr w:type="spellStart"/>
      <w:r>
        <w:rPr>
          <w:rFonts w:ascii="Times New Roman" w:hAnsi="Times New Roman" w:cs="Times New Roman"/>
          <w:sz w:val="23"/>
          <w:szCs w:val="23"/>
        </w:rPr>
        <w:t>Selin</w:t>
      </w:r>
      <w:proofErr w:type="spellEnd"/>
      <w:r>
        <w:rPr>
          <w:rFonts w:ascii="Times New Roman" w:hAnsi="Times New Roman" w:cs="Times New Roman"/>
          <w:sz w:val="23"/>
          <w:szCs w:val="23"/>
        </w:rPr>
        <w:t>, former Chair of the NRC, once said that the public would have</w:t>
      </w:r>
      <w:r>
        <w:rPr>
          <w:rFonts w:ascii="Times New Roman" w:hAnsi="Times New Roman" w:cs="Times New Roman"/>
          <w:sz w:val="23"/>
          <w:szCs w:val="23"/>
        </w:rPr>
        <w:t xml:space="preserve"> no confidence in a process they could not participate in.  </w:t>
      </w:r>
    </w:p>
    <w:p w:rsidR="00000000" w:rsidRDefault="008E54B8">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Now - </w:t>
      </w:r>
      <w:r>
        <w:rPr>
          <w:rFonts w:ascii="Times New Roman" w:hAnsi="Times New Roman" w:cs="Times New Roman"/>
          <w:i/>
          <w:iCs/>
          <w:sz w:val="23"/>
          <w:szCs w:val="23"/>
        </w:rPr>
        <w:t>to assuage an industry shaken by the meltdowns and radioactive releases at Fukushima, a serious earthquake affecting nuclear plants in the northeast, cracking of the shield building at Davi</w:t>
      </w:r>
      <w:r>
        <w:rPr>
          <w:rFonts w:ascii="Times New Roman" w:hAnsi="Times New Roman" w:cs="Times New Roman"/>
          <w:i/>
          <w:iCs/>
          <w:sz w:val="23"/>
          <w:szCs w:val="23"/>
        </w:rPr>
        <w:t>s-</w:t>
      </w:r>
      <w:proofErr w:type="spellStart"/>
      <w:r>
        <w:rPr>
          <w:rFonts w:ascii="Times New Roman" w:hAnsi="Times New Roman" w:cs="Times New Roman"/>
          <w:i/>
          <w:iCs/>
          <w:sz w:val="23"/>
          <w:szCs w:val="23"/>
        </w:rPr>
        <w:t>Besse</w:t>
      </w:r>
      <w:proofErr w:type="spellEnd"/>
      <w:r>
        <w:rPr>
          <w:rFonts w:ascii="Times New Roman" w:hAnsi="Times New Roman" w:cs="Times New Roman"/>
          <w:i/>
          <w:iCs/>
          <w:sz w:val="23"/>
          <w:szCs w:val="23"/>
        </w:rPr>
        <w:t>, the recent loss of over half of the control room functions at Palisades, and many other unresolved management and safety issues uncovered both in the U.S. and global nuclear industry – as well as increased electrical efficiency, greater conservati</w:t>
      </w:r>
      <w:r>
        <w:rPr>
          <w:rFonts w:ascii="Times New Roman" w:hAnsi="Times New Roman" w:cs="Times New Roman"/>
          <w:i/>
          <w:iCs/>
          <w:sz w:val="23"/>
          <w:szCs w:val="23"/>
        </w:rPr>
        <w:t>on by a financially and environmentally aware public, and greater competition from cleaner, safer renewable energy such as wind and solar, which do not bring the costly environmental burden of uranium mining, milling and processing, nor the unwanted lethal</w:t>
      </w:r>
      <w:r>
        <w:rPr>
          <w:rFonts w:ascii="Times New Roman" w:hAnsi="Times New Roman" w:cs="Times New Roman"/>
          <w:i/>
          <w:iCs/>
          <w:sz w:val="23"/>
          <w:szCs w:val="23"/>
        </w:rPr>
        <w:t xml:space="preserve"> burden of irradiated fuel that must somehow be isolated from the biosphere for a million years or more - (all of which is bringing huge economic repercussions and a loss of public confidence) </w:t>
      </w:r>
      <w:r>
        <w:rPr>
          <w:rFonts w:ascii="Times New Roman" w:hAnsi="Times New Roman" w:cs="Times New Roman"/>
          <w:sz w:val="23"/>
          <w:szCs w:val="23"/>
        </w:rPr>
        <w:t>- the Nuclear Regulatory Commission wants to cut corners in the</w:t>
      </w:r>
      <w:r>
        <w:rPr>
          <w:rFonts w:ascii="Times New Roman" w:hAnsi="Times New Roman" w:cs="Times New Roman"/>
          <w:sz w:val="23"/>
          <w:szCs w:val="23"/>
        </w:rPr>
        <w:t xml:space="preserve"> National Environmental Protection Act, so as to hurriedly build another reactor before the public has a chance to look too closely. This reactor has yet to have final approval by the U.S. NRC, yet the NRC is denying the public access to vital information </w:t>
      </w:r>
      <w:r>
        <w:rPr>
          <w:rFonts w:ascii="Times New Roman" w:hAnsi="Times New Roman" w:cs="Times New Roman"/>
          <w:sz w:val="23"/>
          <w:szCs w:val="23"/>
        </w:rPr>
        <w:t xml:space="preserve">about possible repercussions to the environment. A biological report is a key component of any NEPA process. The health and safety of the public or the environment appears to mean little to either the NRC or the nuclear industry.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CACC contends that the</w:t>
      </w:r>
      <w:r>
        <w:rPr>
          <w:rFonts w:ascii="Times New Roman" w:hAnsi="Times New Roman" w:cs="Times New Roman"/>
          <w:sz w:val="23"/>
          <w:szCs w:val="23"/>
        </w:rPr>
        <w:t xml:space="preserve"> biological report is part and parcel of the environmental impact statement and the draft EIS cannot be adequately reviewed apart from that report.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Kay </w:t>
      </w:r>
      <w:proofErr w:type="spellStart"/>
      <w:r>
        <w:rPr>
          <w:rFonts w:ascii="Times New Roman" w:hAnsi="Times New Roman" w:cs="Times New Roman"/>
          <w:sz w:val="23"/>
          <w:szCs w:val="23"/>
        </w:rPr>
        <w:t>Cumbow</w:t>
      </w:r>
      <w:proofErr w:type="spellEnd"/>
      <w:r>
        <w:rPr>
          <w:rFonts w:ascii="Times New Roman" w:hAnsi="Times New Roman" w:cs="Times New Roman"/>
          <w:sz w:val="23"/>
          <w:szCs w:val="23"/>
        </w:rPr>
        <w:t xml:space="preserve">, Member Education Committee </w:t>
      </w:r>
    </w:p>
    <w:p w:rsidR="00000000" w:rsidRDefault="008E54B8">
      <w:pPr>
        <w:pStyle w:val="Default"/>
        <w:rPr>
          <w:rFonts w:ascii="Times New Roman" w:hAnsi="Times New Roman" w:cs="Times New Roman"/>
          <w:sz w:val="23"/>
          <w:szCs w:val="23"/>
        </w:rPr>
      </w:pPr>
      <w:r>
        <w:rPr>
          <w:rFonts w:ascii="Times New Roman" w:hAnsi="Times New Roman" w:cs="Times New Roman"/>
          <w:sz w:val="23"/>
          <w:szCs w:val="23"/>
        </w:rPr>
        <w:t xml:space="preserve">Citizens for Alternatives to Chemical Contamination </w:t>
      </w:r>
    </w:p>
    <w:p w:rsidR="00000000" w:rsidRDefault="008E54B8">
      <w:pPr>
        <w:pStyle w:val="Default"/>
        <w:rPr>
          <w:sz w:val="23"/>
          <w:szCs w:val="23"/>
        </w:rPr>
      </w:pPr>
      <w:r>
        <w:rPr>
          <w:sz w:val="23"/>
          <w:szCs w:val="23"/>
        </w:rPr>
        <w:t>8735 Ma</w:t>
      </w:r>
      <w:r>
        <w:rPr>
          <w:sz w:val="23"/>
          <w:szCs w:val="23"/>
        </w:rPr>
        <w:t xml:space="preserve">ple Grove Road Lake, MI 48632-9511 </w:t>
      </w:r>
    </w:p>
    <w:p w:rsidR="00000000" w:rsidRDefault="008E54B8">
      <w:pPr>
        <w:pStyle w:val="Default"/>
        <w:rPr>
          <w:sz w:val="23"/>
          <w:szCs w:val="23"/>
        </w:rPr>
      </w:pPr>
      <w:r>
        <w:rPr>
          <w:sz w:val="23"/>
          <w:szCs w:val="23"/>
        </w:rPr>
        <w:t xml:space="preserve"> </w:t>
      </w:r>
    </w:p>
    <w:p w:rsidR="00000000" w:rsidRDefault="008E54B8">
      <w:pPr>
        <w:pStyle w:val="Default"/>
        <w:rPr>
          <w:sz w:val="23"/>
          <w:szCs w:val="23"/>
        </w:rPr>
      </w:pPr>
      <w:r>
        <w:rPr>
          <w:sz w:val="23"/>
          <w:szCs w:val="23"/>
        </w:rPr>
        <w:t xml:space="preserve">Please use this address for any correspondence:  </w:t>
      </w:r>
    </w:p>
    <w:p w:rsidR="008E54B8" w:rsidRDefault="008E54B8">
      <w:pPr>
        <w:pStyle w:val="Default"/>
      </w:pPr>
      <w:r>
        <w:rPr>
          <w:sz w:val="23"/>
          <w:szCs w:val="23"/>
        </w:rPr>
        <w:t xml:space="preserve">Kay </w:t>
      </w:r>
      <w:proofErr w:type="spellStart"/>
      <w:r>
        <w:rPr>
          <w:sz w:val="23"/>
          <w:szCs w:val="23"/>
        </w:rPr>
        <w:t>Cumbow</w:t>
      </w:r>
      <w:proofErr w:type="spellEnd"/>
      <w:r>
        <w:rPr>
          <w:sz w:val="23"/>
          <w:szCs w:val="23"/>
        </w:rPr>
        <w:t xml:space="preserve"> 15184 Dudley Road, Brown City, MI 48416</w:t>
      </w:r>
      <w:r>
        <w:rPr>
          <w:rFonts w:ascii="Times New Roman" w:hAnsi="Times New Roman" w:cs="Times New Roman"/>
          <w:sz w:val="23"/>
          <w:szCs w:val="23"/>
        </w:rPr>
        <w:t xml:space="preserve"> </w:t>
      </w:r>
    </w:p>
    <w:sectPr w:rsidR="008E54B8">
      <w:pgSz w:w="12240" w:h="16340"/>
      <w:pgMar w:top="1030" w:right="900" w:bottom="880" w:left="49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Monotype Corsiva">
    <w:altName w:val="Corsiva"/>
    <w:panose1 w:val="03010101010201010101"/>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606"/>
    <w:rsid w:val="003451B7"/>
    <w:rsid w:val="008E54B8"/>
    <w:rsid w:val="00CB26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Ann Hunt</dc:creator>
  <cp:keywords/>
  <dc:description/>
  <cp:lastModifiedBy>Kathryn A. Barnes</cp:lastModifiedBy>
  <cp:revision>2</cp:revision>
  <dcterms:created xsi:type="dcterms:W3CDTF">2012-01-14T19:29:00Z</dcterms:created>
  <dcterms:modified xsi:type="dcterms:W3CDTF">2012-01-14T19:29:00Z</dcterms:modified>
</cp:coreProperties>
</file>